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Arial Unicode MS"/>
          <w:sz w:val="7"/>
        </w:rPr>
      </w:pPr>
      <w:r>
        <w:rPr>
          <w:rFonts w:hint="eastAsia" w:ascii="新宋体" w:hAnsi="新宋体" w:eastAsia="新宋体" w:cs="新宋体"/>
          <w:b/>
          <w:bCs/>
          <w:sz w:val="32"/>
          <w:szCs w:val="32"/>
          <w:lang w:val="en-US" w:eastAsia="zh-CN"/>
        </w:rPr>
        <w:t>福田瑞沃“短”四轴散装饲料运输车</w:t>
      </w:r>
    </w:p>
    <w:p>
      <w:pPr>
        <w:spacing w:after="0"/>
        <w:rPr>
          <w:rFonts w:hint="eastAsia" w:ascii="Arial Unicode MS" w:eastAsia="宋体"/>
          <w:sz w:val="7"/>
          <w:lang w:eastAsia="zh-CN"/>
        </w:rPr>
      </w:pPr>
    </w:p>
    <w:p>
      <w:pPr>
        <w:spacing w:after="0"/>
        <w:jc w:val="center"/>
        <w:rPr>
          <w:rFonts w:hint="eastAsia" w:ascii="Arial Unicode MS" w:eastAsia="宋体"/>
          <w:sz w:val="7"/>
          <w:vertAlign w:val="baseline"/>
          <w:lang w:eastAsia="zh-CN"/>
        </w:rPr>
      </w:pPr>
      <w:r>
        <w:rPr>
          <w:rFonts w:hint="eastAsia" w:ascii="新宋体" w:hAnsi="新宋体" w:eastAsia="新宋体" w:cs="新宋体"/>
          <w:b/>
          <w:bCs/>
          <w:sz w:val="32"/>
          <w:szCs w:val="32"/>
          <w:lang w:val="en-US" w:eastAsia="zh-CN"/>
        </w:rPr>
        <w:drawing>
          <wp:inline distT="0" distB="0" distL="114300" distR="114300">
            <wp:extent cx="6031865" cy="3883660"/>
            <wp:effectExtent l="0" t="0" r="0" b="0"/>
            <wp:docPr id="18" name="图片 18" descr="C:\Users\Administrator\Desktop\2.p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2.png2"/>
                    <pic:cNvPicPr>
                      <a:picLocks noChangeAspect="1"/>
                    </pic:cNvPicPr>
                  </pic:nvPicPr>
                  <pic:blipFill>
                    <a:blip r:embed="rId7"/>
                    <a:srcRect/>
                    <a:stretch>
                      <a:fillRect/>
                    </a:stretch>
                  </pic:blipFill>
                  <pic:spPr>
                    <a:xfrm>
                      <a:off x="0" y="0"/>
                      <a:ext cx="6031865" cy="3883660"/>
                    </a:xfrm>
                    <a:prstGeom prst="rect">
                      <a:avLst/>
                    </a:prstGeom>
                  </pic:spPr>
                </pic:pic>
              </a:graphicData>
            </a:graphic>
          </wp:inline>
        </w:drawing>
      </w:r>
    </w:p>
    <w:p>
      <w:pPr>
        <w:spacing w:after="0"/>
        <w:rPr>
          <w:rFonts w:hint="eastAsia" w:ascii="Arial Unicode MS" w:eastAsia="宋体"/>
          <w:sz w:val="7"/>
          <w:lang w:eastAsia="zh-CN"/>
        </w:rPr>
      </w:pPr>
    </w:p>
    <w:p>
      <w:pPr>
        <w:pStyle w:val="2"/>
        <w:numPr>
          <w:numId w:val="0"/>
        </w:numPr>
        <w:spacing w:before="133"/>
        <w:ind w:left="220" w:leftChars="0" w:right="0" w:rightChars="0"/>
        <w:jc w:val="center"/>
        <w:rPr>
          <w:rFonts w:hint="eastAsia" w:ascii="方正粗黑宋简体" w:hAnsi="方正粗黑宋简体" w:eastAsia="方正粗黑宋简体" w:cs="方正粗黑宋简体"/>
        </w:rPr>
      </w:pPr>
      <w:r>
        <w:rPr>
          <w:rFonts w:hint="eastAsia" w:ascii="方正粗黑宋简体" w:hAnsi="方正粗黑宋简体" w:eastAsia="方正粗黑宋简体" w:cs="方正粗黑宋简体"/>
        </w:rPr>
        <w:t>福田瑞沃“短”轴工程类散装饲料运输车</w:t>
      </w:r>
    </w:p>
    <w:p>
      <w:pPr>
        <w:pStyle w:val="2"/>
        <w:numPr>
          <w:numId w:val="0"/>
        </w:numPr>
        <w:spacing w:before="133"/>
        <w:ind w:left="220" w:leftChars="0" w:right="0" w:rightChars="0"/>
        <w:jc w:val="center"/>
        <w:rPr>
          <w:rFonts w:hint="eastAsia" w:ascii="方正粗黑宋简体" w:hAnsi="方正粗黑宋简体" w:eastAsia="方正粗黑宋简体" w:cs="方正粗黑宋简体"/>
        </w:rPr>
      </w:pPr>
      <w:r>
        <w:rPr>
          <w:rFonts w:hint="eastAsia" w:ascii="方正粗黑宋简体" w:hAnsi="方正粗黑宋简体" w:eastAsia="方正粗黑宋简体" w:cs="方正粗黑宋简体"/>
        </w:rPr>
        <w:t>国六阶段全国唯一“3”字头纯工程概念配置车型</w:t>
      </w:r>
    </w:p>
    <w:p>
      <w:pPr>
        <w:pStyle w:val="2"/>
        <w:numPr>
          <w:ilvl w:val="0"/>
          <w:numId w:val="1"/>
        </w:numPr>
        <w:spacing w:before="133"/>
        <w:ind w:left="220" w:leftChars="0" w:firstLineChars="0"/>
        <w:rPr>
          <w:rFonts w:hint="eastAsia" w:ascii="方正粗黑宋简体" w:hAnsi="方正粗黑宋简体" w:eastAsia="方正粗黑宋简体" w:cs="方正粗黑宋简体"/>
        </w:rPr>
      </w:pPr>
      <w:r>
        <w:rPr>
          <w:rFonts w:hint="eastAsia" w:ascii="方正粗黑宋简体" w:hAnsi="方正粗黑宋简体" w:eastAsia="方正粗黑宋简体" w:cs="方正粗黑宋简体"/>
        </w:rPr>
        <w:t>产品</w:t>
      </w:r>
      <w:r>
        <w:rPr>
          <w:rFonts w:hint="eastAsia" w:ascii="方正粗黑宋简体" w:hAnsi="方正粗黑宋简体" w:eastAsia="方正粗黑宋简体" w:cs="方正粗黑宋简体"/>
          <w:lang w:eastAsia="zh-CN"/>
        </w:rPr>
        <w:t>概述</w:t>
      </w:r>
    </w:p>
    <w:p>
      <w:pPr>
        <w:pStyle w:val="2"/>
        <w:spacing w:line="360" w:lineRule="auto"/>
        <w:ind w:firstLine="810" w:firstLineChars="300"/>
        <w:rPr>
          <w:rFonts w:hint="eastAsia"/>
          <w:spacing w:val="-5"/>
          <w:sz w:val="28"/>
          <w:lang w:val="zh-CN" w:eastAsia="zh-CN"/>
        </w:rPr>
      </w:pPr>
    </w:p>
    <w:p>
      <w:pPr>
        <w:pStyle w:val="2"/>
        <w:spacing w:line="480" w:lineRule="auto"/>
        <w:ind w:firstLine="810" w:firstLineChars="300"/>
        <w:rPr>
          <w:rFonts w:hint="eastAsia"/>
          <w:spacing w:val="-5"/>
          <w:sz w:val="28"/>
          <w:lang w:val="zh-CN" w:eastAsia="zh-CN"/>
        </w:rPr>
      </w:pPr>
      <w:r>
        <w:rPr>
          <w:rFonts w:hint="eastAsia"/>
          <w:spacing w:val="-5"/>
          <w:sz w:val="28"/>
          <w:lang w:val="zh-CN" w:eastAsia="zh-CN"/>
        </w:rPr>
        <w:t>散装饲料车的饲料罐架设在卡车的底盘上，专用设施由罐体总成、输送系统、散装饲料车罐液压系统、散装饲料车罐电动系统、气动分仓机构等组成。在罐体底部设有闸门，在闸门下面装有水平螺旋输送器(俗称水平搅笼)，由取力器由汽车变速箱输出动力驱动，再传动高压油泵以驱动液压系统，散装饲料车罐液压马达通过传动装置带动水平螺旋输送器的叶片轴及叶片旋转，经活动输送系统(俗称活动搅笼)以将饲料输出。车顶平置的一根活动卸料绞龙可自由回转和抬升，运输时顶部的螺旋管平卧在罐顶;卸料时则抬起，散装饲料车罐使管端的出料口与畜禽饲养场贮料罐顶部的进料门相接、对准，完成卸料。</w:t>
      </w:r>
    </w:p>
    <w:p>
      <w:pPr>
        <w:pStyle w:val="2"/>
        <w:numPr>
          <w:ilvl w:val="0"/>
          <w:numId w:val="0"/>
        </w:numPr>
        <w:spacing w:before="133"/>
        <w:ind w:right="0" w:rightChars="0"/>
        <w:rPr>
          <w:rFonts w:hint="eastAsia" w:ascii="方正粗黑宋简体" w:hAnsi="方正粗黑宋简体" w:eastAsia="方正粗黑宋简体" w:cs="方正粗黑宋简体"/>
        </w:rPr>
      </w:pPr>
      <w:r>
        <w:rPr>
          <w:rFonts w:hint="eastAsia" w:ascii="方正粗黑宋简体" w:hAnsi="方正粗黑宋简体" w:eastAsia="方正粗黑宋简体" w:cs="方正粗黑宋简体"/>
          <w:lang w:eastAsia="zh-CN"/>
        </w:rPr>
        <w:t>二、</w:t>
      </w:r>
      <w:r>
        <w:rPr>
          <w:rFonts w:hint="eastAsia" w:ascii="方正粗黑宋简体" w:hAnsi="方正粗黑宋简体" w:eastAsia="方正粗黑宋简体" w:cs="方正粗黑宋简体"/>
        </w:rPr>
        <w:t>产品配置 --- 标配</w:t>
      </w:r>
    </w:p>
    <w:tbl>
      <w:tblPr>
        <w:tblStyle w:val="5"/>
        <w:tblpPr w:leftFromText="180" w:rightFromText="180" w:vertAnchor="text" w:horzAnchor="page" w:tblpX="684" w:tblpY="42"/>
        <w:tblOverlap w:val="never"/>
        <w:tblW w:w="10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3022"/>
        <w:gridCol w:w="2582"/>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85" w:type="dxa"/>
            <w:gridSpan w:val="4"/>
            <w:vAlign w:val="center"/>
          </w:tcPr>
          <w:p>
            <w:pPr>
              <w:spacing w:after="0" w:line="278" w:lineRule="auto"/>
              <w:jc w:val="center"/>
              <w:rPr>
                <w:rFonts w:hint="default" w:eastAsia="宋体"/>
                <w:sz w:val="21"/>
                <w:vertAlign w:val="baseline"/>
                <w:lang w:val="en-US" w:eastAsia="zh-CN"/>
              </w:rPr>
            </w:pPr>
            <w:r>
              <w:rPr>
                <w:rFonts w:hint="eastAsia"/>
                <w:b/>
                <w:bCs/>
                <w:sz w:val="24"/>
                <w:szCs w:val="24"/>
                <w:vertAlign w:val="baseline"/>
                <w:lang w:eastAsia="zh-CN"/>
              </w:rPr>
              <w:t>【整车技术参数】工信部公告、</w:t>
            </w:r>
            <w:r>
              <w:rPr>
                <w:rFonts w:hint="eastAsia"/>
                <w:b/>
                <w:bCs/>
                <w:sz w:val="24"/>
                <w:szCs w:val="24"/>
                <w:vertAlign w:val="baseline"/>
                <w:lang w:val="en-US" w:eastAsia="zh-CN"/>
              </w:rPr>
              <w:t>CCC认证、交通部油耗、国家环保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罐体容积</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40</w:t>
            </w:r>
          </w:p>
        </w:tc>
        <w:tc>
          <w:tcPr>
            <w:tcW w:w="2582" w:type="dxa"/>
            <w:vAlign w:val="center"/>
          </w:tcPr>
          <w:p>
            <w:pPr>
              <w:spacing w:after="0" w:line="278" w:lineRule="auto"/>
              <w:jc w:val="center"/>
              <w:rPr>
                <w:rFonts w:hint="eastAsia" w:eastAsia="宋体"/>
                <w:sz w:val="21"/>
                <w:vertAlign w:val="baseline"/>
                <w:lang w:eastAsia="zh-CN"/>
              </w:rPr>
            </w:pPr>
            <w:r>
              <w:rPr>
                <w:rFonts w:hint="eastAsia"/>
                <w:b/>
                <w:bCs/>
                <w:sz w:val="21"/>
                <w:vertAlign w:val="baseline"/>
                <w:lang w:eastAsia="zh-CN"/>
              </w:rPr>
              <w:t>实际自重（</w:t>
            </w:r>
            <w:r>
              <w:rPr>
                <w:rFonts w:hint="eastAsia"/>
                <w:b/>
                <w:bCs/>
                <w:sz w:val="21"/>
                <w:vertAlign w:val="baseline"/>
                <w:lang w:val="en-US" w:eastAsia="zh-CN"/>
              </w:rPr>
              <w:t>kg）</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140" w:type="dxa"/>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总质量（</w:t>
            </w:r>
            <w:r>
              <w:rPr>
                <w:rFonts w:hint="eastAsia"/>
                <w:b/>
                <w:bCs/>
                <w:sz w:val="21"/>
                <w:vertAlign w:val="baseline"/>
                <w:lang w:val="en-US" w:eastAsia="zh-CN"/>
              </w:rPr>
              <w:t>kg）</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31000</w:t>
            </w:r>
          </w:p>
        </w:tc>
        <w:tc>
          <w:tcPr>
            <w:tcW w:w="2582" w:type="dxa"/>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外形尺寸（</w:t>
            </w:r>
            <w:r>
              <w:rPr>
                <w:rFonts w:hint="eastAsia"/>
                <w:b/>
                <w:bCs/>
                <w:sz w:val="21"/>
                <w:vertAlign w:val="baseline"/>
                <w:lang w:val="en-US" w:eastAsia="zh-CN"/>
              </w:rPr>
              <w:t>mm)</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11500*2550*3995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140" w:type="dxa"/>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整备质量（</w:t>
            </w:r>
            <w:r>
              <w:rPr>
                <w:rFonts w:hint="eastAsia"/>
                <w:b/>
                <w:bCs/>
                <w:sz w:val="21"/>
                <w:vertAlign w:val="baseline"/>
                <w:lang w:val="en-US" w:eastAsia="zh-CN"/>
              </w:rPr>
              <w:t>kg）</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11690、11400</w:t>
            </w:r>
          </w:p>
        </w:tc>
        <w:tc>
          <w:tcPr>
            <w:tcW w:w="2582" w:type="dxa"/>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罐体尺寸（</w:t>
            </w:r>
            <w:r>
              <w:rPr>
                <w:rFonts w:hint="eastAsia"/>
                <w:b/>
                <w:bCs/>
                <w:sz w:val="21"/>
                <w:vertAlign w:val="baseline"/>
                <w:lang w:val="en-US" w:eastAsia="zh-CN"/>
              </w:rPr>
              <w:t>mm）</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8250*2500*2510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公告额定质量（</w:t>
            </w:r>
            <w:r>
              <w:rPr>
                <w:rFonts w:hint="eastAsia"/>
                <w:b/>
                <w:bCs/>
                <w:sz w:val="21"/>
                <w:vertAlign w:val="baseline"/>
                <w:lang w:val="en-US" w:eastAsia="zh-CN"/>
              </w:rPr>
              <w:t>kg）</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19115、19405</w:t>
            </w:r>
          </w:p>
        </w:tc>
        <w:tc>
          <w:tcPr>
            <w:tcW w:w="2582" w:type="dxa"/>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eastAsia="zh-CN"/>
              </w:rPr>
              <w:t>顶部蛟龙（</w:t>
            </w:r>
            <w:r>
              <w:rPr>
                <w:rFonts w:hint="eastAsia"/>
                <w:b/>
                <w:bCs/>
                <w:sz w:val="21"/>
                <w:vertAlign w:val="baseline"/>
                <w:lang w:val="en-US" w:eastAsia="zh-CN"/>
              </w:rPr>
              <w:t>m)</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7.2（可加长）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标载质量</w:t>
            </w:r>
            <w:bookmarkStart w:id="0" w:name="_GoBack"/>
            <w:bookmarkEnd w:id="0"/>
            <w:r>
              <w:rPr>
                <w:rFonts w:hint="eastAsia"/>
                <w:b/>
                <w:bCs/>
                <w:sz w:val="21"/>
                <w:vertAlign w:val="baseline"/>
                <w:lang w:eastAsia="zh-CN"/>
              </w:rPr>
              <w:t>（</w:t>
            </w:r>
            <w:r>
              <w:rPr>
                <w:rFonts w:hint="eastAsia"/>
                <w:b/>
                <w:bCs/>
                <w:sz w:val="21"/>
                <w:vertAlign w:val="baseline"/>
                <w:lang w:val="en-US" w:eastAsia="zh-CN"/>
              </w:rPr>
              <w:t>kg）</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20000</w:t>
            </w:r>
          </w:p>
        </w:tc>
        <w:tc>
          <w:tcPr>
            <w:tcW w:w="2582"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蛟龙个数</w:t>
            </w:r>
          </w:p>
        </w:tc>
        <w:tc>
          <w:tcPr>
            <w:tcW w:w="2941" w:type="dxa"/>
            <w:vAlign w:val="center"/>
          </w:tcPr>
          <w:p>
            <w:pPr>
              <w:spacing w:after="0" w:line="278" w:lineRule="auto"/>
              <w:jc w:val="center"/>
              <w:rPr>
                <w:rFonts w:hint="eastAsia" w:eastAsia="宋体"/>
                <w:sz w:val="21"/>
                <w:vertAlign w:val="baseline"/>
                <w:lang w:val="en-US" w:eastAsia="zh-CN"/>
              </w:rPr>
            </w:pPr>
            <w:r>
              <w:rPr>
                <w:rFonts w:hint="eastAsia"/>
                <w:sz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实际承载（</w:t>
            </w:r>
            <w:r>
              <w:rPr>
                <w:rFonts w:hint="eastAsia"/>
                <w:b/>
                <w:bCs/>
                <w:sz w:val="21"/>
                <w:vertAlign w:val="baseline"/>
                <w:lang w:val="en-US" w:eastAsia="zh-CN"/>
              </w:rPr>
              <w:t>kg）</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22000</w:t>
            </w:r>
          </w:p>
        </w:tc>
        <w:tc>
          <w:tcPr>
            <w:tcW w:w="2582"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罐体分仓</w:t>
            </w:r>
          </w:p>
        </w:tc>
        <w:tc>
          <w:tcPr>
            <w:tcW w:w="2941" w:type="dxa"/>
            <w:vAlign w:val="center"/>
          </w:tcPr>
          <w:p>
            <w:pPr>
              <w:spacing w:after="0" w:line="278" w:lineRule="auto"/>
              <w:jc w:val="center"/>
              <w:rPr>
                <w:rFonts w:hint="eastAsia" w:eastAsia="宋体"/>
                <w:sz w:val="21"/>
                <w:vertAlign w:val="baseline"/>
                <w:lang w:val="en-US" w:eastAsia="zh-CN"/>
              </w:rPr>
            </w:pPr>
            <w:r>
              <w:rPr>
                <w:rFonts w:hint="eastAsia"/>
                <w:sz w:val="21"/>
                <w:vertAlign w:val="baseline"/>
                <w:lang w:val="en-US" w:eastAsia="zh-CN"/>
              </w:rPr>
              <w:t>4（可定制）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0685" w:type="dxa"/>
            <w:gridSpan w:val="4"/>
            <w:vAlign w:val="center"/>
          </w:tcPr>
          <w:p>
            <w:pPr>
              <w:spacing w:after="0" w:line="278" w:lineRule="auto"/>
              <w:jc w:val="center"/>
              <w:rPr>
                <w:rFonts w:hint="eastAsia" w:eastAsia="宋体"/>
                <w:sz w:val="21"/>
                <w:vertAlign w:val="baseline"/>
                <w:lang w:eastAsia="zh-CN"/>
              </w:rPr>
            </w:pPr>
            <w:r>
              <w:rPr>
                <w:rFonts w:hint="eastAsia"/>
                <w:b/>
                <w:bCs/>
                <w:sz w:val="24"/>
                <w:szCs w:val="24"/>
                <w:vertAlign w:val="baseline"/>
                <w:lang w:eastAsia="zh-CN"/>
              </w:rPr>
              <w:t>【底盘技术参数】全国服务站通用保养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底盘型号</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eastAsia="zh-CN"/>
              </w:rPr>
              <w:t>福田牌</w:t>
            </w:r>
            <w:r>
              <w:rPr>
                <w:rFonts w:hint="eastAsia"/>
                <w:sz w:val="21"/>
                <w:vertAlign w:val="baseline"/>
                <w:lang w:val="en-US" w:eastAsia="zh-CN"/>
              </w:rPr>
              <w:t>BJ3314DPPHB-01</w:t>
            </w:r>
          </w:p>
        </w:tc>
        <w:tc>
          <w:tcPr>
            <w:tcW w:w="2582" w:type="dxa"/>
            <w:vAlign w:val="center"/>
          </w:tcPr>
          <w:p>
            <w:pPr>
              <w:spacing w:after="0" w:line="278" w:lineRule="auto"/>
              <w:jc w:val="center"/>
              <w:rPr>
                <w:rFonts w:hint="default" w:eastAsia="宋体"/>
                <w:b/>
                <w:bCs/>
                <w:sz w:val="21"/>
                <w:vertAlign w:val="baseline"/>
                <w:lang w:val="en-US" w:eastAsia="zh-CN"/>
              </w:rPr>
            </w:pPr>
            <w:r>
              <w:rPr>
                <w:rFonts w:hint="eastAsia"/>
                <w:b/>
                <w:bCs/>
                <w:sz w:val="21"/>
                <w:vertAlign w:val="baseline"/>
                <w:lang w:val="en-US" w:eastAsia="zh-CN"/>
              </w:rPr>
              <w:t>轴距（mm)</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1800+3650+1300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发动机（型号）</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eastAsia="zh-CN"/>
              </w:rPr>
              <w:t>国六排放</w:t>
            </w:r>
            <w:r>
              <w:rPr>
                <w:rFonts w:hint="eastAsia"/>
                <w:sz w:val="21"/>
                <w:vertAlign w:val="baseline"/>
                <w:lang w:val="en-US" w:eastAsia="zh-CN"/>
              </w:rPr>
              <w:t xml:space="preserve"> 玉柴270马力</w:t>
            </w:r>
          </w:p>
        </w:tc>
        <w:tc>
          <w:tcPr>
            <w:tcW w:w="2582"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变速箱</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eastAsia="zh-CN"/>
              </w:rPr>
              <w:t>法士特</w:t>
            </w:r>
            <w:r>
              <w:rPr>
                <w:rFonts w:hint="eastAsia"/>
                <w:sz w:val="21"/>
                <w:vertAlign w:val="baseline"/>
                <w:lang w:val="en-US" w:eastAsia="zh-CN"/>
              </w:rPr>
              <w:t>10档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轮胎</w:t>
            </w:r>
          </w:p>
        </w:tc>
        <w:tc>
          <w:tcPr>
            <w:tcW w:w="3022"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11.00R22.5真空胎</w:t>
            </w:r>
          </w:p>
        </w:tc>
        <w:tc>
          <w:tcPr>
            <w:tcW w:w="2582"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后桥</w:t>
            </w:r>
          </w:p>
        </w:tc>
        <w:tc>
          <w:tcPr>
            <w:tcW w:w="2941" w:type="dxa"/>
            <w:vAlign w:val="center"/>
          </w:tcPr>
          <w:p>
            <w:pPr>
              <w:spacing w:after="0" w:line="278" w:lineRule="auto"/>
              <w:jc w:val="center"/>
              <w:rPr>
                <w:rFonts w:hint="default" w:eastAsia="宋体"/>
                <w:sz w:val="21"/>
                <w:vertAlign w:val="baseline"/>
                <w:lang w:val="en-US" w:eastAsia="zh-CN"/>
              </w:rPr>
            </w:pPr>
            <w:r>
              <w:rPr>
                <w:rFonts w:hint="eastAsia"/>
                <w:sz w:val="21"/>
                <w:vertAlign w:val="baseline"/>
                <w:lang w:val="en-US" w:eastAsia="zh-CN"/>
              </w:rPr>
              <w:t>13吨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685" w:type="dxa"/>
            <w:gridSpan w:val="4"/>
            <w:vAlign w:val="center"/>
          </w:tcPr>
          <w:p>
            <w:pPr>
              <w:spacing w:after="0" w:line="278" w:lineRule="auto"/>
              <w:jc w:val="center"/>
              <w:rPr>
                <w:rFonts w:hint="eastAsia" w:eastAsia="宋体"/>
                <w:sz w:val="21"/>
                <w:vertAlign w:val="baseline"/>
                <w:lang w:eastAsia="zh-CN"/>
              </w:rPr>
            </w:pPr>
            <w:r>
              <w:rPr>
                <w:rFonts w:hint="eastAsia"/>
                <w:b/>
                <w:bCs/>
                <w:sz w:val="24"/>
                <w:szCs w:val="24"/>
                <w:vertAlign w:val="baseline"/>
                <w:lang w:eastAsia="zh-CN"/>
              </w:rPr>
              <w:t>【上装工艺】正常三包一年，终生技术支持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电动系统</w:t>
            </w:r>
          </w:p>
        </w:tc>
        <w:tc>
          <w:tcPr>
            <w:tcW w:w="8545" w:type="dxa"/>
            <w:gridSpan w:val="3"/>
            <w:vAlign w:val="center"/>
          </w:tcPr>
          <w:p>
            <w:pPr>
              <w:spacing w:after="0" w:line="278" w:lineRule="auto"/>
              <w:ind w:right="-180" w:rightChars="-82"/>
              <w:jc w:val="center"/>
              <w:rPr>
                <w:rFonts w:hint="default" w:eastAsia="宋体"/>
                <w:sz w:val="21"/>
                <w:vertAlign w:val="baseline"/>
                <w:lang w:val="en-US" w:eastAsia="zh-CN"/>
              </w:rPr>
            </w:pPr>
            <w:r>
              <w:rPr>
                <w:rFonts w:hint="eastAsia"/>
                <w:sz w:val="21"/>
                <w:vertAlign w:val="baseline"/>
                <w:lang w:eastAsia="zh-CN"/>
              </w:rPr>
              <w:t>动力系统采用</w:t>
            </w:r>
            <w:r>
              <w:rPr>
                <w:rFonts w:hint="eastAsia"/>
                <w:sz w:val="21"/>
                <w:vertAlign w:val="baseline"/>
                <w:lang w:val="en-US" w:eastAsia="zh-CN"/>
              </w:rPr>
              <w:t>3个5.5KW电机，集成电控厢，选装自发电，标配15米外接电缆线，航空插头。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液压系统</w:t>
            </w:r>
          </w:p>
        </w:tc>
        <w:tc>
          <w:tcPr>
            <w:tcW w:w="8545" w:type="dxa"/>
            <w:gridSpan w:val="3"/>
            <w:vAlign w:val="center"/>
          </w:tcPr>
          <w:p>
            <w:pPr>
              <w:spacing w:after="0" w:line="278" w:lineRule="auto"/>
              <w:jc w:val="left"/>
              <w:rPr>
                <w:rFonts w:hint="default" w:eastAsia="宋体"/>
                <w:sz w:val="21"/>
                <w:vertAlign w:val="baseline"/>
                <w:lang w:val="en-US" w:eastAsia="zh-CN"/>
              </w:rPr>
            </w:pPr>
            <w:r>
              <w:rPr>
                <w:rFonts w:hint="eastAsia"/>
                <w:sz w:val="21"/>
                <w:vertAlign w:val="baseline"/>
                <w:lang w:eastAsia="zh-CN"/>
              </w:rPr>
              <w:t>采用进口系列丹尼逊液压泵，</w:t>
            </w:r>
            <w:r>
              <w:rPr>
                <w:rFonts w:hint="eastAsia"/>
                <w:sz w:val="21"/>
                <w:vertAlign w:val="baseline"/>
                <w:lang w:val="en-US" w:eastAsia="zh-CN"/>
              </w:rPr>
              <w:t>3个伊顿马达，油力阀。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3" w:hRule="atLeast"/>
        </w:trPr>
        <w:tc>
          <w:tcPr>
            <w:tcW w:w="2140" w:type="dxa"/>
            <w:vAlign w:val="center"/>
          </w:tcPr>
          <w:p>
            <w:pPr>
              <w:spacing w:after="0" w:line="278" w:lineRule="auto"/>
              <w:jc w:val="center"/>
              <w:rPr>
                <w:rFonts w:hint="eastAsia" w:eastAsia="宋体"/>
                <w:b/>
                <w:bCs/>
                <w:sz w:val="21"/>
                <w:vertAlign w:val="baseline"/>
                <w:lang w:eastAsia="zh-CN"/>
              </w:rPr>
            </w:pPr>
            <w:r>
              <w:rPr>
                <w:rFonts w:hint="eastAsia"/>
                <w:b/>
                <w:bCs/>
                <w:sz w:val="21"/>
                <w:vertAlign w:val="baseline"/>
                <w:lang w:eastAsia="zh-CN"/>
              </w:rPr>
              <w:t>罐体工艺</w:t>
            </w:r>
          </w:p>
        </w:tc>
        <w:tc>
          <w:tcPr>
            <w:tcW w:w="8545" w:type="dxa"/>
            <w:gridSpan w:val="3"/>
            <w:vAlign w:val="center"/>
          </w:tcPr>
          <w:p>
            <w:pPr>
              <w:numPr>
                <w:ilvl w:val="0"/>
                <w:numId w:val="2"/>
              </w:numPr>
              <w:spacing w:after="0" w:line="278" w:lineRule="auto"/>
              <w:jc w:val="left"/>
              <w:rPr>
                <w:rFonts w:hint="eastAsia"/>
                <w:sz w:val="21"/>
                <w:vertAlign w:val="baseline"/>
                <w:lang w:val="en-US" w:eastAsia="zh-CN"/>
              </w:rPr>
            </w:pPr>
            <w:r>
              <w:rPr>
                <w:rFonts w:hint="eastAsia"/>
                <w:sz w:val="21"/>
                <w:vertAlign w:val="baseline"/>
                <w:lang w:val="en-US" w:eastAsia="zh-CN"/>
              </w:rPr>
              <w:t>罐体采用3mm优质碳钢板与2mm高强度轻量化锰钢混合焊接制作，整车轻量化设计；</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罐体结构设计布局合理，激光切割下料，平整度高，密封性强；</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严格的满焊接工艺保证衔接处的完美契合，出厂进行淋水试验测试；</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箱体侧面使用国际工字钢斜撑加固，行驶过程中更加稳固，有效杜绝了罐体和底盘处开裂的情况；</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十年成熟蛟龙工艺，花键式可注黄油，特种轴承材质，合理间隙、螺距，饲料破损率低，速度快；</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专用抗腐蚀油漆，一道喷沙、二道打磨、三道油漆，四道保护清漆，高温不橘皮；</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电路、油路采用国内知名管线路，调试出厂后进行密封性保护；</w:t>
            </w:r>
          </w:p>
          <w:p>
            <w:pPr>
              <w:numPr>
                <w:ilvl w:val="0"/>
                <w:numId w:val="2"/>
              </w:numPr>
              <w:spacing w:after="0" w:line="278" w:lineRule="auto"/>
              <w:jc w:val="left"/>
              <w:rPr>
                <w:rFonts w:hint="default"/>
                <w:sz w:val="21"/>
                <w:vertAlign w:val="baseline"/>
                <w:lang w:val="en-US" w:eastAsia="zh-CN"/>
              </w:rPr>
            </w:pPr>
            <w:r>
              <w:rPr>
                <w:rFonts w:hint="eastAsia"/>
                <w:sz w:val="21"/>
                <w:vertAlign w:val="baseline"/>
                <w:lang w:val="en-US" w:eastAsia="zh-CN"/>
              </w:rPr>
              <w:t>罐体顶部选装一键式气动仓门，选装蛟龙无线遥控，选装蛟龙密封口等。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1" w:hRule="atLeast"/>
        </w:trPr>
        <w:tc>
          <w:tcPr>
            <w:tcW w:w="2140" w:type="dxa"/>
            <w:vAlign w:val="center"/>
          </w:tcPr>
          <w:p>
            <w:pPr>
              <w:spacing w:after="0" w:line="278" w:lineRule="auto"/>
              <w:jc w:val="center"/>
              <w:rPr>
                <w:rFonts w:hint="eastAsia"/>
                <w:b/>
                <w:bCs/>
                <w:sz w:val="21"/>
                <w:vertAlign w:val="baseline"/>
                <w:lang w:eastAsia="zh-CN"/>
              </w:rPr>
            </w:pPr>
            <w:r>
              <w:rPr>
                <w:rFonts w:hint="eastAsia"/>
                <w:b/>
                <w:bCs/>
                <w:sz w:val="21"/>
                <w:vertAlign w:val="baseline"/>
                <w:lang w:eastAsia="zh-CN"/>
              </w:rPr>
              <w:t>产品亮点</w:t>
            </w:r>
          </w:p>
        </w:tc>
        <w:tc>
          <w:tcPr>
            <w:tcW w:w="8545" w:type="dxa"/>
            <w:gridSpan w:val="3"/>
            <w:vAlign w:val="center"/>
          </w:tcPr>
          <w:p>
            <w:pPr>
              <w:pStyle w:val="2"/>
              <w:numPr>
                <w:ilvl w:val="0"/>
                <w:numId w:val="3"/>
              </w:numPr>
              <w:spacing w:before="133"/>
              <w:ind w:right="0" w:rightChars="0"/>
              <w:jc w:val="left"/>
              <w:rPr>
                <w:rFonts w:hint="eastAsia" w:ascii="宋体" w:hAnsi="宋体" w:eastAsia="宋体" w:cs="宋体"/>
                <w:sz w:val="21"/>
                <w:szCs w:val="22"/>
                <w:vertAlign w:val="baseline"/>
                <w:lang w:val="en-US" w:eastAsia="zh-CN" w:bidi="zh-CN"/>
              </w:rPr>
            </w:pPr>
            <w:r>
              <w:rPr>
                <w:rFonts w:hint="eastAsia" w:ascii="宋体" w:hAnsi="宋体" w:eastAsia="宋体" w:cs="宋体"/>
                <w:sz w:val="21"/>
                <w:szCs w:val="22"/>
                <w:vertAlign w:val="baseline"/>
                <w:lang w:val="en-US" w:eastAsia="zh-CN" w:bidi="zh-CN"/>
              </w:rPr>
              <w:t>轴距短，重心稳，通过性强，适合全国养殖厂普遍分布的山区窄路段</w:t>
            </w:r>
          </w:p>
          <w:p>
            <w:pPr>
              <w:pStyle w:val="2"/>
              <w:numPr>
                <w:ilvl w:val="0"/>
                <w:numId w:val="3"/>
              </w:numPr>
              <w:spacing w:before="133"/>
              <w:ind w:right="0" w:rightChars="0"/>
              <w:jc w:val="left"/>
              <w:rPr>
                <w:rFonts w:hint="eastAsia" w:ascii="宋体" w:hAnsi="宋体" w:eastAsia="宋体" w:cs="宋体"/>
                <w:sz w:val="21"/>
                <w:szCs w:val="22"/>
                <w:vertAlign w:val="baseline"/>
                <w:lang w:val="en-US" w:eastAsia="zh-CN" w:bidi="zh-CN"/>
              </w:rPr>
            </w:pPr>
            <w:r>
              <w:rPr>
                <w:rFonts w:hint="eastAsia" w:ascii="宋体" w:hAnsi="宋体" w:eastAsia="宋体" w:cs="宋体"/>
                <w:sz w:val="21"/>
                <w:szCs w:val="22"/>
                <w:vertAlign w:val="baseline"/>
                <w:lang w:val="en-US" w:eastAsia="zh-CN" w:bidi="zh-CN"/>
              </w:rPr>
              <w:t>自重轻，额载多，实用性大，解决了全国高速限载等治超严格的难题</w:t>
            </w:r>
          </w:p>
          <w:p>
            <w:pPr>
              <w:pStyle w:val="2"/>
              <w:numPr>
                <w:ilvl w:val="0"/>
                <w:numId w:val="3"/>
              </w:numPr>
              <w:spacing w:before="133"/>
              <w:ind w:right="0" w:rightChars="0"/>
              <w:jc w:val="left"/>
              <w:rPr>
                <w:rFonts w:hint="eastAsia"/>
                <w:sz w:val="21"/>
                <w:vertAlign w:val="baseline"/>
                <w:lang w:val="en-US" w:eastAsia="zh-CN"/>
              </w:rPr>
            </w:pPr>
            <w:r>
              <w:rPr>
                <w:rFonts w:hint="eastAsia" w:ascii="宋体" w:hAnsi="宋体" w:eastAsia="宋体" w:cs="宋体"/>
                <w:sz w:val="21"/>
                <w:szCs w:val="22"/>
                <w:vertAlign w:val="baseline"/>
                <w:lang w:val="en-US" w:eastAsia="zh-CN" w:bidi="zh-CN"/>
              </w:rPr>
              <w:t>黄金工程链，玉柴+法士特+大速比加重桥，保证了承载和燃油经济性</w:t>
            </w:r>
          </w:p>
          <w:p>
            <w:pPr>
              <w:pStyle w:val="2"/>
              <w:numPr>
                <w:ilvl w:val="0"/>
                <w:numId w:val="3"/>
              </w:numPr>
              <w:spacing w:before="133"/>
              <w:ind w:right="0" w:rightChars="0"/>
              <w:jc w:val="left"/>
              <w:rPr>
                <w:rFonts w:hint="eastAsia"/>
                <w:sz w:val="21"/>
                <w:vertAlign w:val="baseline"/>
                <w:lang w:val="en-US" w:eastAsia="zh-CN"/>
              </w:rPr>
            </w:pPr>
            <w:r>
              <w:rPr>
                <w:rFonts w:hint="eastAsia" w:ascii="宋体" w:hAnsi="宋体" w:eastAsia="宋体" w:cs="宋体"/>
                <w:sz w:val="21"/>
                <w:szCs w:val="22"/>
                <w:vertAlign w:val="baseline"/>
                <w:lang w:val="en-US" w:eastAsia="zh-CN" w:bidi="zh-CN"/>
              </w:rPr>
              <w:t>配置丰富，性价比高，领先竞品好几万，优势太大了，不推错过太多</w:t>
            </w:r>
          </w:p>
        </w:tc>
      </w:tr>
    </w:tbl>
    <w:p>
      <w:pPr>
        <w:spacing w:after="0" w:line="278" w:lineRule="auto"/>
        <w:jc w:val="center"/>
        <w:rPr>
          <w:sz w:val="21"/>
        </w:rPr>
      </w:pPr>
    </w:p>
    <w:p>
      <w:pPr>
        <w:spacing w:after="0" w:line="278" w:lineRule="auto"/>
        <w:jc w:val="center"/>
        <w:rPr>
          <w:sz w:val="21"/>
        </w:rPr>
        <w:sectPr>
          <w:headerReference r:id="rId5" w:type="default"/>
          <w:pgSz w:w="11910" w:h="16840"/>
          <w:pgMar w:top="1980" w:right="880" w:bottom="280" w:left="920" w:header="852" w:footer="0" w:gutter="0"/>
          <w:cols w:space="720" w:num="1"/>
        </w:sectPr>
      </w:pPr>
    </w:p>
    <w:p>
      <w:pPr>
        <w:rPr>
          <w:rFonts w:hint="eastAsia" w:ascii="黑体" w:hAnsi="宋体" w:eastAsia="黑体" w:cs="宋体"/>
          <w:sz w:val="28"/>
          <w:szCs w:val="28"/>
          <w:lang w:val="zh-CN" w:eastAsia="zh-CN" w:bidi="zh-CN"/>
        </w:rPr>
      </w:pPr>
    </w:p>
    <w:p>
      <w:pPr>
        <w:numPr>
          <w:ilvl w:val="0"/>
          <w:numId w:val="0"/>
        </w:numPr>
        <w:ind w:left="220" w:leftChars="0" w:right="0" w:rightChars="0"/>
        <w:rPr>
          <w:rFonts w:hint="eastAsia" w:ascii="方正粗黑宋简体" w:hAnsi="方正粗黑宋简体" w:eastAsia="方正粗黑宋简体" w:cs="方正粗黑宋简体"/>
          <w:sz w:val="28"/>
          <w:szCs w:val="28"/>
          <w:lang w:val="zh-CN" w:eastAsia="zh-CN" w:bidi="zh-CN"/>
        </w:rPr>
      </w:pPr>
      <w:r>
        <w:rPr>
          <w:rFonts w:hint="eastAsia" w:ascii="方正粗黑宋简体" w:hAnsi="方正粗黑宋简体" w:eastAsia="方正粗黑宋简体" w:cs="方正粗黑宋简体"/>
          <w:sz w:val="28"/>
          <w:szCs w:val="28"/>
          <w:lang w:val="zh-CN" w:eastAsia="zh-CN" w:bidi="zh-CN"/>
        </w:rPr>
        <w:t>三、多方位图展示</w:t>
      </w:r>
    </w:p>
    <w:p>
      <w:pPr>
        <w:numPr>
          <w:ilvl w:val="0"/>
          <w:numId w:val="0"/>
        </w:numPr>
        <w:ind w:left="212" w:leftChars="0" w:right="0" w:rightChars="0"/>
        <w:rPr>
          <w:rFonts w:hint="eastAsia" w:ascii="方正粗黑宋简体" w:hAnsi="方正粗黑宋简体" w:eastAsia="方正粗黑宋简体" w:cs="方正粗黑宋简体"/>
          <w:sz w:val="28"/>
          <w:szCs w:val="28"/>
          <w:lang w:val="zh-CN" w:eastAsia="zh-CN" w:bidi="zh-CN"/>
        </w:rPr>
      </w:pPr>
    </w:p>
    <w:p>
      <w:pPr>
        <w:numPr>
          <w:ilvl w:val="0"/>
          <w:numId w:val="0"/>
        </w:numPr>
        <w:rPr>
          <w:rFonts w:hint="eastAsia" w:ascii="黑体" w:hAnsi="宋体" w:eastAsia="黑体" w:cs="宋体"/>
          <w:sz w:val="28"/>
          <w:szCs w:val="28"/>
          <w:lang w:val="zh-CN" w:eastAsia="zh-CN" w:bidi="zh-CN"/>
        </w:rPr>
        <w:sectPr>
          <w:pgSz w:w="11910" w:h="16840"/>
          <w:pgMar w:top="1980" w:right="880" w:bottom="280" w:left="920" w:header="852" w:footer="0" w:gutter="0"/>
          <w:cols w:space="720" w:num="1"/>
        </w:sectPr>
      </w:pPr>
      <w:r>
        <w:rPr>
          <w:rFonts w:hint="eastAsia" w:ascii="黑体" w:hAnsi="宋体" w:eastAsia="黑体" w:cs="宋体"/>
          <w:sz w:val="28"/>
          <w:szCs w:val="28"/>
          <w:lang w:val="zh-CN" w:eastAsia="zh-CN" w:bidi="zh-CN"/>
        </w:rPr>
        <w:drawing>
          <wp:inline distT="0" distB="0" distL="114300" distR="114300">
            <wp:extent cx="6187440" cy="4124960"/>
            <wp:effectExtent l="0" t="0" r="3810" b="8890"/>
            <wp:docPr id="2" name="图片 2"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2.jpg2"/>
                    <pic:cNvPicPr>
                      <a:picLocks noChangeAspect="1"/>
                    </pic:cNvPicPr>
                  </pic:nvPicPr>
                  <pic:blipFill>
                    <a:blip r:embed="rId8"/>
                    <a:srcRect/>
                    <a:stretch>
                      <a:fillRect/>
                    </a:stretch>
                  </pic:blipFill>
                  <pic:spPr>
                    <a:xfrm>
                      <a:off x="0" y="0"/>
                      <a:ext cx="6187440" cy="412496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202680" cy="4135120"/>
            <wp:effectExtent l="0" t="0" r="7620" b="17780"/>
            <wp:docPr id="3" name="图片 3"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3.jpg3"/>
                    <pic:cNvPicPr>
                      <a:picLocks noChangeAspect="1"/>
                    </pic:cNvPicPr>
                  </pic:nvPicPr>
                  <pic:blipFill>
                    <a:blip r:embed="rId9"/>
                    <a:srcRect/>
                    <a:stretch>
                      <a:fillRect/>
                    </a:stretch>
                  </pic:blipFill>
                  <pic:spPr>
                    <a:xfrm>
                      <a:off x="0" y="0"/>
                      <a:ext cx="6202680" cy="4135120"/>
                    </a:xfrm>
                    <a:prstGeom prst="rect">
                      <a:avLst/>
                    </a:prstGeom>
                  </pic:spPr>
                </pic:pic>
              </a:graphicData>
            </a:graphic>
          </wp:inline>
        </w:drawing>
      </w:r>
    </w:p>
    <w:p>
      <w:pPr>
        <w:numPr>
          <w:ilvl w:val="0"/>
          <w:numId w:val="0"/>
        </w:numP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397625" cy="4265295"/>
            <wp:effectExtent l="0" t="0" r="3175" b="1905"/>
            <wp:docPr id="8" name="图片 8" descr="C:\Users\Administrator\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4.jpg4"/>
                    <pic:cNvPicPr>
                      <a:picLocks noChangeAspect="1"/>
                    </pic:cNvPicPr>
                  </pic:nvPicPr>
                  <pic:blipFill>
                    <a:blip r:embed="rId10"/>
                    <a:srcRect/>
                    <a:stretch>
                      <a:fillRect/>
                    </a:stretch>
                  </pic:blipFill>
                  <pic:spPr>
                    <a:xfrm>
                      <a:off x="0" y="0"/>
                      <a:ext cx="6397625"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7625" cy="4265295"/>
            <wp:effectExtent l="0" t="0" r="3175" b="1905"/>
            <wp:docPr id="7" name="图片 7" descr="C:\Users\Administrator\Desktop\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5.jpg5"/>
                    <pic:cNvPicPr>
                      <a:picLocks noChangeAspect="1"/>
                    </pic:cNvPicPr>
                  </pic:nvPicPr>
                  <pic:blipFill>
                    <a:blip r:embed="rId11"/>
                    <a:srcRect/>
                    <a:stretch>
                      <a:fillRect/>
                    </a:stretch>
                  </pic:blipFill>
                  <pic:spPr>
                    <a:xfrm>
                      <a:off x="0" y="0"/>
                      <a:ext cx="6397625"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7625" cy="4265295"/>
            <wp:effectExtent l="0" t="0" r="3175" b="1905"/>
            <wp:docPr id="6" name="图片 6" descr="C:\Users\Administrator\Desktop\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6.jpg6"/>
                    <pic:cNvPicPr>
                      <a:picLocks noChangeAspect="1"/>
                    </pic:cNvPicPr>
                  </pic:nvPicPr>
                  <pic:blipFill>
                    <a:blip r:embed="rId12"/>
                    <a:srcRect/>
                    <a:stretch>
                      <a:fillRect/>
                    </a:stretch>
                  </pic:blipFill>
                  <pic:spPr>
                    <a:xfrm>
                      <a:off x="0" y="0"/>
                      <a:ext cx="6397625"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7625" cy="4265295"/>
            <wp:effectExtent l="0" t="0" r="3175" b="1905"/>
            <wp:docPr id="5" name="图片 5" descr="C:\Users\Administrator\Desktop\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esktop\7.jpg7"/>
                    <pic:cNvPicPr>
                      <a:picLocks noChangeAspect="1"/>
                    </pic:cNvPicPr>
                  </pic:nvPicPr>
                  <pic:blipFill>
                    <a:blip r:embed="rId13"/>
                    <a:srcRect/>
                    <a:stretch>
                      <a:fillRect/>
                    </a:stretch>
                  </pic:blipFill>
                  <pic:spPr>
                    <a:xfrm>
                      <a:off x="0" y="0"/>
                      <a:ext cx="6397625"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5720" cy="4264025"/>
            <wp:effectExtent l="0" t="0" r="5080" b="3175"/>
            <wp:docPr id="9" name="图片 9" descr="C:\Users\Administrator\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or\Desktop\1.jpg1"/>
                    <pic:cNvPicPr>
                      <a:picLocks noChangeAspect="1"/>
                    </pic:cNvPicPr>
                  </pic:nvPicPr>
                  <pic:blipFill>
                    <a:blip r:embed="rId14"/>
                    <a:srcRect/>
                    <a:stretch>
                      <a:fillRect/>
                    </a:stretch>
                  </pic:blipFill>
                  <pic:spPr>
                    <a:xfrm>
                      <a:off x="0" y="0"/>
                      <a:ext cx="6395720" cy="426402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97625" cy="4265295"/>
            <wp:effectExtent l="0" t="0" r="3175" b="1905"/>
            <wp:docPr id="4" name="图片 4" descr="C:\Users\Administrator\Desktop\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8.jpg8"/>
                    <pic:cNvPicPr>
                      <a:picLocks noChangeAspect="1"/>
                    </pic:cNvPicPr>
                  </pic:nvPicPr>
                  <pic:blipFill>
                    <a:blip r:embed="rId15"/>
                    <a:srcRect/>
                    <a:stretch>
                      <a:fillRect/>
                    </a:stretch>
                  </pic:blipFill>
                  <pic:spPr>
                    <a:xfrm>
                      <a:off x="0" y="0"/>
                      <a:ext cx="6397625" cy="426529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1"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
                    <pic:cNvPicPr>
                      <a:picLocks noChangeAspect="1"/>
                    </pic:cNvPicPr>
                  </pic:nvPicPr>
                  <pic:blipFill>
                    <a:blip r:embed="rId16"/>
                    <a:stretch>
                      <a:fillRect/>
                    </a:stretch>
                  </pic:blipFill>
                  <pic:spPr>
                    <a:xfrm>
                      <a:off x="0" y="0"/>
                      <a:ext cx="6412230" cy="4274820"/>
                    </a:xfrm>
                    <a:prstGeom prst="rect">
                      <a:avLst/>
                    </a:prstGeom>
                  </pic:spPr>
                </pic:pic>
              </a:graphicData>
            </a:graphic>
          </wp:inline>
        </w:drawing>
      </w:r>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auto"/>
    <w:pitch w:val="default"/>
    <w:sig w:usb0="00000003" w:usb1="288F0000" w:usb2="00000006" w:usb3="00000000" w:csb0="00040001" w:csb1="00000000"/>
  </w:font>
  <w:font w:name="方正粗黑宋简体">
    <w:panose1 w:val="02000000000000000000"/>
    <w:charset w:val="86"/>
    <w:family w:val="auto"/>
    <w:pitch w:val="default"/>
    <w:sig w:usb0="A00002BF" w:usb1="184F6CFA" w:usb2="00000012" w:usb3="00000000" w:csb0="00040001" w:csb1="00000000"/>
  </w:font>
  <w:font w:name="华文行楷">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E536EF"/>
    <w:multiLevelType w:val="singleLevel"/>
    <w:tmpl w:val="AAE536EF"/>
    <w:lvl w:ilvl="0" w:tentative="0">
      <w:start w:val="1"/>
      <w:numFmt w:val="decimal"/>
      <w:suff w:val="nothing"/>
      <w:lvlText w:val="%1、"/>
      <w:lvlJc w:val="left"/>
    </w:lvl>
  </w:abstractNum>
  <w:abstractNum w:abstractNumId="1">
    <w:nsid w:val="2E3C4493"/>
    <w:multiLevelType w:val="singleLevel"/>
    <w:tmpl w:val="2E3C4493"/>
    <w:lvl w:ilvl="0" w:tentative="0">
      <w:start w:val="1"/>
      <w:numFmt w:val="chineseCounting"/>
      <w:suff w:val="nothing"/>
      <w:lvlText w:val="%1、"/>
      <w:lvlJc w:val="left"/>
      <w:pPr>
        <w:ind w:left="8"/>
      </w:pPr>
      <w:rPr>
        <w:rFonts w:hint="eastAsia"/>
      </w:rPr>
    </w:lvl>
  </w:abstractNum>
  <w:abstractNum w:abstractNumId="2">
    <w:nsid w:val="74B72753"/>
    <w:multiLevelType w:val="singleLevel"/>
    <w:tmpl w:val="74B72753"/>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2526D"/>
    <w:rsid w:val="08AC6FF5"/>
    <w:rsid w:val="0AD00857"/>
    <w:rsid w:val="11762014"/>
    <w:rsid w:val="1B13276C"/>
    <w:rsid w:val="21BE7021"/>
    <w:rsid w:val="277604B5"/>
    <w:rsid w:val="29D312C0"/>
    <w:rsid w:val="2E633C40"/>
    <w:rsid w:val="309B1E39"/>
    <w:rsid w:val="363C60B7"/>
    <w:rsid w:val="3CE36310"/>
    <w:rsid w:val="43C2204D"/>
    <w:rsid w:val="47951E4B"/>
    <w:rsid w:val="4B862293"/>
    <w:rsid w:val="4DFF2896"/>
    <w:rsid w:val="5092681E"/>
    <w:rsid w:val="50F873D1"/>
    <w:rsid w:val="528C6287"/>
    <w:rsid w:val="52AF26B1"/>
    <w:rsid w:val="549F482F"/>
    <w:rsid w:val="57987D5E"/>
    <w:rsid w:val="6C7D1C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052" w:right="250" w:hanging="560"/>
    </w:pPr>
    <w:rPr>
      <w:rFonts w:ascii="宋体" w:hAnsi="宋体" w:eastAsia="宋体" w:cs="宋体"/>
      <w:lang w:val="zh-CN" w:eastAsia="zh-CN" w:bidi="zh-CN"/>
    </w:rPr>
  </w:style>
  <w:style w:type="paragraph" w:customStyle="1" w:styleId="10">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2021-07-01T02:02:54Z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F71D3ADAA64D4EFEBAF29BE9876DEBF4</vt:lpwstr>
  </property>
  <property fmtid="{D5CDD505-2E9C-101B-9397-08002B2CF9AE}" pid="7" name="KSOSaveFontToCloudKey">
    <vt:lpwstr>267244177_btnclosed</vt:lpwstr>
  </property>
</Properties>
</file>